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3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  <w:lang w:val="ru-RU"/>
        </w:rPr>
        <w:t xml:space="preserve">                                       АКТУАЛЬНАЯ РЕДАКЦИЯ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3"/>
        <w:jc w:val="center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МУНИЦИПАЛЬНОЙ ПРОГРАММЫ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jc w:val="center"/>
        <w:rPr>
          <w:color w:val="000000"/>
          <w:sz w:val="28"/>
          <w:szCs w:val="28"/>
        </w:rPr>
        <w:outlineLvl w:val="0"/>
      </w:pPr>
      <w:r>
        <w:rPr>
          <w:b/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Информационное общество </w:t>
      </w:r>
      <w:r>
        <w:rPr>
          <w:color w:val="000000"/>
          <w:sz w:val="28"/>
          <w:szCs w:val="28"/>
        </w:rPr>
        <w:t xml:space="preserve">Бутурлинского</w:t>
      </w:r>
      <w:r>
        <w:rPr>
          <w:color w:val="000000"/>
          <w:sz w:val="28"/>
          <w:szCs w:val="28"/>
        </w:rPr>
        <w:t xml:space="preserve"> муниципального округа Нижегородской области</w:t>
      </w:r>
      <w:r>
        <w:rPr>
          <w:color w:val="000000"/>
          <w:sz w:val="28"/>
          <w:szCs w:val="28"/>
        </w:rPr>
        <w:t xml:space="preserve">» (далее Программа)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rPr>
          <w:color w:val="000000"/>
          <w:sz w:val="28"/>
          <w:szCs w:val="28"/>
        </w:rPr>
        <w:outlineLvl w:val="0"/>
      </w:pPr>
      <w:r>
        <w:rPr>
          <w:sz w:val="20"/>
        </w:rPr>
        <w:t xml:space="preserve">(</w:t>
      </w:r>
      <w:r>
        <w:rPr>
          <w:sz w:val="20"/>
        </w:rPr>
        <w:t xml:space="preserve">в</w:t>
      </w:r>
      <w:r>
        <w:rPr>
          <w:sz w:val="20"/>
        </w:rPr>
        <w:t xml:space="preserve"> редакции, утвержденной постановлени</w:t>
      </w:r>
      <w:r>
        <w:rPr>
          <w:sz w:val="20"/>
        </w:rPr>
        <w:t xml:space="preserve">ем</w:t>
      </w:r>
      <w:r>
        <w:rPr>
          <w:sz w:val="20"/>
        </w:rPr>
        <w:t xml:space="preserve"> администрации </w:t>
      </w:r>
      <w:r>
        <w:rPr>
          <w:sz w:val="20"/>
        </w:rPr>
        <w:t xml:space="preserve">Бутурлинского</w:t>
      </w:r>
      <w:r>
        <w:rPr>
          <w:sz w:val="20"/>
        </w:rPr>
        <w:t xml:space="preserve"> муниципального района от</w:t>
      </w:r>
      <w:r>
        <w:rPr>
          <w:sz w:val="20"/>
        </w:rPr>
        <w:t xml:space="preserve"> 01.10.2020</w:t>
      </w:r>
      <w:r>
        <w:rPr>
          <w:sz w:val="20"/>
        </w:rPr>
        <w:t xml:space="preserve"> </w:t>
      </w:r>
      <w:r>
        <w:rPr>
          <w:sz w:val="20"/>
        </w:rPr>
        <w:t xml:space="preserve">№ 925 (с изменениями, внесенными постановлениями администрации </w:t>
      </w:r>
      <w:r>
        <w:rPr>
          <w:sz w:val="20"/>
        </w:rPr>
        <w:t xml:space="preserve">Бутурлинского</w:t>
      </w:r>
      <w:r>
        <w:rPr>
          <w:sz w:val="20"/>
        </w:rPr>
        <w:t xml:space="preserve"> муниципального района Нижегородской области от 30.12.2020 № 1289, администрации </w:t>
      </w:r>
      <w:r>
        <w:rPr>
          <w:sz w:val="20"/>
        </w:rPr>
        <w:t xml:space="preserve">Бутурлинского</w:t>
      </w:r>
      <w:r>
        <w:rPr>
          <w:sz w:val="20"/>
        </w:rPr>
        <w:t xml:space="preserve"> муниципального округа Нижегородской области</w:t>
      </w:r>
      <w:r>
        <w:rPr>
          <w:sz w:val="20"/>
        </w:rPr>
        <w:t xml:space="preserve"> от</w:t>
      </w:r>
      <w:r>
        <w:rPr>
          <w:sz w:val="20"/>
        </w:rPr>
        <w:t xml:space="preserve"> 01.06.2021 № 628, от 01.12.2021 № 1464, от 30.12.2021</w:t>
      </w:r>
      <w:r>
        <w:rPr>
          <w:sz w:val="20"/>
        </w:rPr>
        <w:t xml:space="preserve"> </w:t>
      </w:r>
      <w:r>
        <w:rPr>
          <w:sz w:val="20"/>
        </w:rPr>
        <w:t xml:space="preserve">      </w:t>
      </w:r>
      <w:r>
        <w:rPr>
          <w:sz w:val="20"/>
        </w:rPr>
        <w:t xml:space="preserve">№ 1</w:t>
      </w:r>
      <w:r>
        <w:rPr>
          <w:sz w:val="20"/>
        </w:rPr>
        <w:t xml:space="preserve">7</w:t>
      </w:r>
      <w:r>
        <w:rPr>
          <w:sz w:val="20"/>
        </w:rPr>
        <w:t xml:space="preserve">05</w:t>
      </w:r>
      <w:r>
        <w:rPr>
          <w:sz w:val="20"/>
        </w:rPr>
        <w:t xml:space="preserve">, от 24.08.2022 № 1033, от 21.10.2022 № 1340,</w:t>
      </w:r>
      <w:r>
        <w:t xml:space="preserve"> </w:t>
      </w:r>
      <w:r>
        <w:rPr>
          <w:sz w:val="20"/>
        </w:rPr>
        <w:t xml:space="preserve">от 30 декабря 2022 г. № 1834</w:t>
      </w:r>
      <w:r>
        <w:rPr>
          <w:sz w:val="20"/>
        </w:rPr>
        <w:t xml:space="preserve">, от 31.08.2023 № 1243, от </w:t>
      </w:r>
      <w:r>
        <w:rPr>
          <w:sz w:val="20"/>
        </w:rPr>
        <w:t xml:space="preserve">19.10.2023</w:t>
      </w:r>
      <w:r>
        <w:rPr>
          <w:sz w:val="20"/>
        </w:rPr>
        <w:t xml:space="preserve"> № </w:t>
      </w:r>
      <w:r>
        <w:rPr>
          <w:sz w:val="20"/>
        </w:rPr>
        <w:t xml:space="preserve">1501, </w:t>
      </w:r>
      <w:r>
        <w:rPr>
          <w:sz w:val="20"/>
        </w:rPr>
        <w:t xml:space="preserve">от </w:t>
      </w:r>
      <w:r>
        <w:rPr>
          <w:sz w:val="20"/>
        </w:rPr>
        <w:t xml:space="preserve">10.01.2024 № 3</w:t>
      </w:r>
      <w:r>
        <w:rPr>
          <w:sz w:val="20"/>
        </w:rPr>
        <w:t xml:space="preserve">, от 24.04.2024 № 634</w:t>
      </w:r>
      <w:r>
        <w:rPr>
          <w:sz w:val="20"/>
        </w:rPr>
        <w:t xml:space="preserve">, от 17.10.2024 № 1597</w:t>
      </w:r>
      <w:r>
        <w:rPr>
          <w:sz w:val="20"/>
        </w:rPr>
        <w:t xml:space="preserve">, от 15.11.2024 № 1817</w:t>
      </w:r>
      <w:r>
        <w:rPr>
          <w:sz w:val="20"/>
        </w:rPr>
        <w:t xml:space="preserve">, </w:t>
      </w:r>
      <w:r>
        <w:rPr>
          <w:sz w:val="20"/>
        </w:rPr>
        <w:t xml:space="preserve">от </w:t>
      </w:r>
      <w:r>
        <w:rPr>
          <w:sz w:val="20"/>
        </w:rPr>
        <w:t xml:space="preserve">26</w:t>
      </w:r>
      <w:r>
        <w:rPr>
          <w:sz w:val="20"/>
        </w:rPr>
        <w:t xml:space="preserve">.12.2024 № </w:t>
      </w:r>
      <w:r>
        <w:rPr>
          <w:sz w:val="20"/>
        </w:rPr>
        <w:t xml:space="preserve">2155</w:t>
      </w:r>
      <w:r>
        <w:rPr>
          <w:sz w:val="20"/>
        </w:rPr>
        <w:t xml:space="preserve">, </w:t>
      </w:r>
      <w:r>
        <w:rPr>
          <w:sz w:val="20"/>
        </w:rPr>
        <w:t xml:space="preserve">от 17.07.2025 № 971</w:t>
      </w:r>
      <w:r>
        <w:rPr>
          <w:sz w:val="20"/>
        </w:rPr>
        <w:t xml:space="preserve">, от 13.10.2025 № 1347</w:t>
      </w:r>
      <w:r>
        <w:rPr>
          <w:sz w:val="20"/>
        </w:rPr>
        <w:t xml:space="preserve">, от 15.01.2026 №23, от 14.04.2026 № 448, от 21.07.2026 №883</w:t>
      </w:r>
      <w:r>
        <w:rPr>
          <w:sz w:val="20"/>
        </w:rPr>
        <w:t xml:space="preserve">)</w:t>
      </w:r>
      <w:r>
        <w:rPr>
          <w:sz w:val="20"/>
        </w:rPr>
        <w:t xml:space="preserve">)</w:t>
      </w:r>
      <w:bookmarkStart w:id="0" w:name="_GoBack"/>
      <w:r/>
      <w:bookmarkEnd w:id="0"/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1. ПАСПОРТ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0"/>
        <w:gridCol w:w="593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заказчик-координатор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по юридическому и организационному обеспечению деятельности администрации Бутурлинского муниципального округа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 «Редакция газеты «</w:t>
            </w:r>
            <w:r>
              <w:rPr>
                <w:sz w:val="28"/>
                <w:szCs w:val="28"/>
              </w:rPr>
              <w:t xml:space="preserve">Бутурлинская</w:t>
            </w:r>
            <w:r>
              <w:rPr>
                <w:sz w:val="28"/>
                <w:szCs w:val="28"/>
              </w:rPr>
              <w:t xml:space="preserve"> жизнь»;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rStyle w:val="849"/>
                <w:sz w:val="28"/>
                <w:szCs w:val="28"/>
              </w:rPr>
              <w:t xml:space="preserve">С</w:t>
            </w:r>
            <w:r>
              <w:rPr>
                <w:rStyle w:val="849"/>
                <w:sz w:val="28"/>
                <w:szCs w:val="28"/>
              </w:rPr>
              <w:t xml:space="preserve">труктурные подразделения администрации </w:t>
            </w:r>
            <w:r>
              <w:rPr>
                <w:rStyle w:val="849"/>
                <w:sz w:val="28"/>
                <w:szCs w:val="28"/>
              </w:rPr>
              <w:t xml:space="preserve">Бутурлинского</w:t>
            </w:r>
            <w:r>
              <w:rPr>
                <w:rStyle w:val="849"/>
                <w:sz w:val="28"/>
                <w:szCs w:val="28"/>
              </w:rPr>
              <w:t xml:space="preserve"> муниципального </w:t>
            </w:r>
            <w:r>
              <w:rPr>
                <w:rStyle w:val="849"/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5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 xml:space="preserve">-обеспечение конституционного права граждан на получение информации;</w:t>
            </w:r>
            <w:r>
              <w:rPr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color w:val="2d2d2d"/>
                <w:spacing w:val="1"/>
                <w:sz w:val="28"/>
                <w:szCs w:val="28"/>
                <w:shd w:val="clear" w:color="auto" w:fill="ffffff"/>
              </w:rPr>
              <w:t xml:space="preserve">-</w:t>
            </w:r>
            <w:r>
              <w:rPr>
                <w:color w:val="2d2d2d"/>
                <w:spacing w:val="1"/>
                <w:sz w:val="28"/>
                <w:szCs w:val="28"/>
                <w:shd w:val="clear" w:color="auto" w:fill="ffffff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овышение эффективности деятельности органов местного самоуправления и муниципальных учреждений </w:t>
            </w:r>
            <w:r>
              <w:rPr>
                <w:color w:val="000000"/>
                <w:sz w:val="28"/>
                <w:szCs w:val="28"/>
              </w:rPr>
              <w:t xml:space="preserve">Бутурлинского</w:t>
            </w:r>
            <w:r>
              <w:rPr>
                <w:color w:val="000000"/>
                <w:sz w:val="28"/>
                <w:szCs w:val="28"/>
              </w:rPr>
              <w:t xml:space="preserve"> муниципального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округа</w:t>
            </w:r>
            <w:r>
              <w:rPr>
                <w:color w:val="000000"/>
                <w:sz w:val="28"/>
                <w:szCs w:val="28"/>
              </w:rPr>
              <w:t xml:space="preserve">, направленной на реализацию интересов населения </w:t>
            </w:r>
            <w:r>
              <w:rPr>
                <w:color w:val="000000"/>
                <w:sz w:val="28"/>
                <w:szCs w:val="28"/>
              </w:rPr>
              <w:t xml:space="preserve">Бутурлинского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района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за</w:t>
            </w:r>
            <w:r>
              <w:rPr>
                <w:color w:val="000000"/>
                <w:sz w:val="28"/>
                <w:szCs w:val="28"/>
              </w:rPr>
              <w:t xml:space="preserve"> счет использования современных информационных и телекоммуникационных технологий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</w:t>
            </w:r>
            <w:r>
              <w:rPr>
                <w:sz w:val="28"/>
                <w:szCs w:val="28"/>
              </w:rPr>
              <w:t xml:space="preserve">беспечение качества и доступности му</w:t>
            </w:r>
            <w:r>
              <w:rPr>
                <w:sz w:val="28"/>
                <w:szCs w:val="28"/>
              </w:rPr>
              <w:t xml:space="preserve">ниципальных услуг в электронном виде;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беспечение открытости</w:t>
            </w:r>
            <w:r>
              <w:rPr>
                <w:sz w:val="28"/>
                <w:szCs w:val="28"/>
              </w:rPr>
              <w:t xml:space="preserve"> и прозрачности деятельн</w:t>
            </w:r>
            <w:r>
              <w:rPr>
                <w:sz w:val="28"/>
                <w:szCs w:val="28"/>
              </w:rPr>
              <w:t xml:space="preserve">ости органов местного самоуправ</w:t>
            </w:r>
            <w:r>
              <w:rPr>
                <w:sz w:val="28"/>
                <w:szCs w:val="28"/>
              </w:rPr>
              <w:t xml:space="preserve">ления для общества;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</w:t>
            </w:r>
            <w:r>
              <w:rPr>
                <w:sz w:val="28"/>
                <w:szCs w:val="28"/>
              </w:rPr>
              <w:t xml:space="preserve">азвитие информационно-телекоммуникационной </w:t>
            </w:r>
            <w:r>
              <w:rPr>
                <w:sz w:val="28"/>
                <w:szCs w:val="28"/>
              </w:rPr>
              <w:t xml:space="preserve">инфраструктуры </w:t>
            </w:r>
            <w:r>
              <w:rPr>
                <w:sz w:val="28"/>
                <w:szCs w:val="28"/>
              </w:rPr>
              <w:t xml:space="preserve">Бутурлинского</w:t>
            </w:r>
            <w:r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Этапы и сроки реализации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</w:t>
            </w:r>
            <w:r>
              <w:rPr>
                <w:sz w:val="28"/>
                <w:szCs w:val="28"/>
              </w:rPr>
              <w:t xml:space="preserve"> - 20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реализуется в один этап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бюджетных ассигнований программы за счет средств бюджета (в разбивке по подпрограммам)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финансирования формируются исходя из финансовых возможностей бюджета </w:t>
            </w:r>
            <w:r>
              <w:rPr>
                <w:sz w:val="28"/>
                <w:szCs w:val="28"/>
              </w:rPr>
              <w:t xml:space="preserve">муниципального округа </w:t>
            </w:r>
            <w:r>
              <w:rPr>
                <w:sz w:val="28"/>
                <w:szCs w:val="28"/>
              </w:rPr>
              <w:t xml:space="preserve">на очередной год.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на программу предусмотрено 31279,07</w:t>
            </w:r>
            <w:r>
              <w:rPr>
                <w:sz w:val="28"/>
                <w:szCs w:val="28"/>
              </w:rPr>
              <w:t xml:space="preserve">тыс. руб., в том числе за счет средств</w:t>
            </w:r>
            <w:r>
              <w:rPr>
                <w:sz w:val="28"/>
                <w:szCs w:val="28"/>
              </w:rPr>
              <w:t xml:space="preserve"> бюджета муниципального округа </w:t>
            </w:r>
            <w:r>
              <w:rPr>
                <w:sz w:val="28"/>
                <w:szCs w:val="28"/>
              </w:rPr>
              <w:t xml:space="preserve">14</w:t>
            </w:r>
            <w:r>
              <w:rPr>
                <w:sz w:val="28"/>
                <w:szCs w:val="28"/>
              </w:rPr>
              <w:t xml:space="preserve">254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75</w:t>
            </w:r>
            <w:r>
              <w:rPr>
                <w:sz w:val="28"/>
                <w:szCs w:val="28"/>
              </w:rPr>
              <w:t xml:space="preserve"> тыс. руб., областного бюджета </w:t>
            </w:r>
            <w:r>
              <w:rPr>
                <w:sz w:val="28"/>
                <w:szCs w:val="28"/>
              </w:rPr>
              <w:t xml:space="preserve">17024,33</w:t>
            </w:r>
            <w:r>
              <w:rPr>
                <w:sz w:val="28"/>
                <w:szCs w:val="28"/>
              </w:rPr>
              <w:t xml:space="preserve"> тыс. руб.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годам: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3132,2 тыс. руб.,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- 3186,58 тыс. руб.,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4335,5 тыс. руб.,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3548,05 тыс. руб.,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 xml:space="preserve">4751,11</w:t>
            </w:r>
            <w:r>
              <w:rPr>
                <w:sz w:val="28"/>
                <w:szCs w:val="28"/>
              </w:rPr>
              <w:t xml:space="preserve"> тыс. руб.,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 xml:space="preserve">4440,87</w:t>
            </w:r>
            <w:r>
              <w:rPr>
                <w:sz w:val="28"/>
                <w:szCs w:val="28"/>
              </w:rPr>
              <w:t xml:space="preserve"> тыс. руб.,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 xml:space="preserve">3942,38</w:t>
            </w:r>
            <w:r>
              <w:rPr>
                <w:sz w:val="28"/>
                <w:szCs w:val="28"/>
              </w:rPr>
              <w:t xml:space="preserve"> тыс. руб.,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 xml:space="preserve">3942,38</w:t>
            </w:r>
            <w:r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По окончании реал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изации мероприятий 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Программы к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202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8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году будут достигнуты следующие значения индикаторов: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</w:t>
            </w:r>
            <w:r>
              <w:rPr>
                <w:color w:val="000000"/>
                <w:sz w:val="28"/>
                <w:szCs w:val="28"/>
              </w:rPr>
              <w:t xml:space="preserve">индикатор: </w:t>
            </w:r>
            <w:r>
              <w:rPr>
                <w:color w:val="000000"/>
                <w:sz w:val="28"/>
                <w:szCs w:val="28"/>
              </w:rPr>
              <w:t xml:space="preserve">доля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услуг,</w:t>
            </w:r>
            <w:r>
              <w:rPr>
                <w:color w:val="000000"/>
                <w:sz w:val="28"/>
                <w:szCs w:val="28"/>
              </w:rPr>
              <w:t xml:space="preserve"> оказываемых в электронном виде от общего количества оказываемых услуг - 50 %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Непосредственный результат 1 - </w:t>
            </w:r>
            <w:r>
              <w:rPr>
                <w:color w:val="000000"/>
                <w:sz w:val="28"/>
                <w:szCs w:val="28"/>
              </w:rPr>
              <w:t xml:space="preserve">количество специалистов по защите (технической защите) информации органов местного самоуправления </w:t>
            </w:r>
            <w:r>
              <w:rPr>
                <w:color w:val="000000"/>
                <w:sz w:val="28"/>
                <w:szCs w:val="28"/>
              </w:rPr>
              <w:t xml:space="preserve">Бутурлинского</w:t>
            </w:r>
            <w:r>
              <w:rPr>
                <w:color w:val="000000"/>
                <w:sz w:val="28"/>
                <w:szCs w:val="28"/>
              </w:rPr>
              <w:t xml:space="preserve"> муниципального округа</w:t>
            </w:r>
            <w:r>
              <w:rPr>
                <w:color w:val="000000"/>
                <w:sz w:val="28"/>
                <w:szCs w:val="28"/>
              </w:rPr>
              <w:t xml:space="preserve">, проходящих обучение по вопросам информационной безопасности</w:t>
            </w:r>
            <w:r>
              <w:rPr>
                <w:color w:val="000000"/>
                <w:sz w:val="28"/>
                <w:szCs w:val="28"/>
              </w:rPr>
              <w:t xml:space="preserve"> – 1 чел.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2 индикатор: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у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ровень обеспеченности местным печатным СМИ жителей 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Бутурлинского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района   газетой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Бутурлинская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жизнь» - 100%;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</w:p>
          <w:p>
            <w:pPr>
              <w:widowControl w:val="off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</w:p>
          <w:p>
            <w:pPr>
              <w:widowControl w:val="off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Непосредственный результат 2 – информационное обеспечение жителей 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Бутурлинского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муниципального округа – 12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5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0 экз.;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</w:p>
          <w:p>
            <w:pPr>
              <w:widowControl w:val="off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</w:p>
          <w:p>
            <w:pPr>
              <w:widowControl w:val="off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3 индикатор – объем страхового фонда на территории 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Бутурлинского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муниципального округа – 100 %; 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</w:p>
          <w:p>
            <w:pPr>
              <w:widowControl w:val="off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</w:p>
          <w:p>
            <w:pPr>
              <w:widowControl w:val="off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Непосредственный результат 3 – увеличение страхового фонда на территории 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Бутурлинского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муниципального округа – 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5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ед.</w:t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jc w:val="both"/>
        <w:widowControl w:val="off"/>
        <w:rPr>
          <w:b/>
          <w:sz w:val="28"/>
          <w:szCs w:val="28"/>
        </w:rPr>
        <w:outlineLvl w:val="2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jc w:val="both"/>
        <w:widowControl w:val="off"/>
        <w:rPr>
          <w:b/>
          <w:sz w:val="28"/>
          <w:szCs w:val="28"/>
        </w:rPr>
        <w:outlineLvl w:val="2"/>
      </w:pPr>
      <w:r>
        <w:rPr>
          <w:b/>
          <w:sz w:val="28"/>
          <w:szCs w:val="28"/>
        </w:rPr>
        <w:t xml:space="preserve">2. Текстовая часть муниципальной программы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40"/>
        <w:rPr>
          <w:b/>
          <w:sz w:val="28"/>
          <w:szCs w:val="28"/>
        </w:rPr>
        <w:outlineLvl w:val="2"/>
      </w:pPr>
      <w:r>
        <w:rPr>
          <w:b/>
          <w:sz w:val="28"/>
          <w:szCs w:val="28"/>
        </w:rPr>
        <w:t xml:space="preserve">2.1. </w:t>
      </w:r>
      <w:r>
        <w:rPr>
          <w:b/>
          <w:sz w:val="28"/>
          <w:szCs w:val="28"/>
        </w:rPr>
        <w:t xml:space="preserve">Характеристика текущего</w:t>
      </w:r>
      <w:r>
        <w:rPr>
          <w:b/>
          <w:sz w:val="28"/>
          <w:szCs w:val="28"/>
        </w:rPr>
        <w:t xml:space="preserve"> состояния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</w:t>
      </w:r>
      <w:r>
        <w:rPr>
          <w:color w:val="000000"/>
          <w:sz w:val="28"/>
          <w:szCs w:val="28"/>
        </w:rPr>
        <w:t xml:space="preserve">онные технологии - неотъемлемая часть современных социально-экономических отношений, непосредственно влияющая на их развитие. Чем выше скорость информационных потоков, тем динамичнее развивается экономика, институты гражданского общества, социальная сфера.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Однако информатизация таит в себе опасность: не поддающиеся контролю глобальные инф</w:t>
      </w:r>
      <w:r>
        <w:rPr>
          <w:color w:val="000000"/>
          <w:sz w:val="28"/>
          <w:szCs w:val="28"/>
        </w:rPr>
        <w:t xml:space="preserve">ормационные потоки могут стать причиной распространения терроризма, экстремизма, хакерства, пиратства и других социально опасных явлений. Обеспечение информационной и физической безопасности информационного общества - одна из важнейших задач современности.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Одним из важнейших направлений в настоящее время является оказание государственных и муниципальных услуг в электронном виде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Программой предусматривается также поддержка местного СМИ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газеты «</w:t>
      </w:r>
      <w:r>
        <w:rPr>
          <w:color w:val="000000"/>
          <w:sz w:val="28"/>
          <w:szCs w:val="28"/>
        </w:rPr>
        <w:t xml:space="preserve">Бутурлинская</w:t>
      </w:r>
      <w:r>
        <w:rPr>
          <w:color w:val="000000"/>
          <w:sz w:val="28"/>
          <w:szCs w:val="28"/>
        </w:rPr>
        <w:t xml:space="preserve"> жизнь», выпуск которой </w:t>
      </w:r>
      <w:r>
        <w:rPr>
          <w:color w:val="000000"/>
          <w:sz w:val="28"/>
          <w:szCs w:val="28"/>
        </w:rPr>
        <w:t xml:space="preserve">является неотъемлемой</w:t>
      </w:r>
      <w:r>
        <w:rPr>
          <w:color w:val="000000"/>
          <w:sz w:val="28"/>
          <w:szCs w:val="28"/>
        </w:rPr>
        <w:t xml:space="preserve"> частью современного информационного общества.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настоящей Программой предусмотрена модернизация оборудования и программного обеспечения для администрации </w:t>
      </w:r>
      <w:r>
        <w:rPr>
          <w:color w:val="000000"/>
          <w:sz w:val="28"/>
          <w:szCs w:val="28"/>
        </w:rPr>
        <w:t xml:space="preserve">Бутурлинского</w:t>
      </w:r>
      <w:r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 xml:space="preserve">округ</w:t>
      </w:r>
      <w:r>
        <w:rPr>
          <w:color w:val="000000"/>
          <w:sz w:val="28"/>
          <w:szCs w:val="28"/>
        </w:rPr>
        <w:t xml:space="preserve">а, развитие архивного </w:t>
      </w:r>
      <w:r>
        <w:rPr>
          <w:color w:val="000000"/>
          <w:sz w:val="28"/>
          <w:szCs w:val="28"/>
        </w:rPr>
        <w:t xml:space="preserve">дела с</w:t>
      </w:r>
      <w:r>
        <w:rPr>
          <w:color w:val="000000"/>
          <w:sz w:val="28"/>
          <w:szCs w:val="28"/>
        </w:rPr>
        <w:t xml:space="preserve"> целью повышения качества оказываемых администрацией района услуг.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Цели и задачи Программы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Программы - сориентировать деятельность органов местного самоуправления и муниципальных учреждений </w:t>
      </w:r>
      <w:r>
        <w:rPr>
          <w:color w:val="000000"/>
          <w:sz w:val="28"/>
          <w:szCs w:val="28"/>
        </w:rPr>
        <w:t xml:space="preserve">Бутурлинского</w:t>
      </w:r>
      <w:r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 xml:space="preserve">округа</w:t>
      </w:r>
      <w:r>
        <w:rPr>
          <w:color w:val="000000"/>
          <w:sz w:val="28"/>
          <w:szCs w:val="28"/>
        </w:rPr>
        <w:t xml:space="preserve"> на реализацию интересов населения за счет использования информационных и телекоммуникационных технологий, тем самым повысить эффективной своей деятельности.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достижения поставленной цели необходимо решение следующих задач: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-обеспечение качества и доступности муниципальных услуг в электронном виде;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обеспечение открытости</w:t>
      </w:r>
      <w:r>
        <w:rPr>
          <w:color w:val="000000"/>
          <w:sz w:val="28"/>
          <w:szCs w:val="28"/>
        </w:rPr>
        <w:t xml:space="preserve"> и прозрачности деятельности органов местного</w:t>
      </w:r>
      <w:r>
        <w:rPr>
          <w:sz w:val="28"/>
          <w:szCs w:val="28"/>
        </w:rPr>
        <w:t xml:space="preserve"> самоуправ</w:t>
      </w:r>
      <w:r>
        <w:rPr>
          <w:sz w:val="28"/>
          <w:szCs w:val="28"/>
        </w:rPr>
        <w:t xml:space="preserve">ления для общества;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-развитие информационно-телекоммуникационной </w:t>
      </w:r>
      <w:r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 xml:space="preserve">Бутурлинского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.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реализации запланированных мероприятий, будут решены основные конкретные задачи: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-финансовая поддержка МАУ «Редакция газеты «</w:t>
      </w:r>
      <w:r>
        <w:rPr>
          <w:color w:val="000000"/>
          <w:sz w:val="28"/>
          <w:szCs w:val="28"/>
        </w:rPr>
        <w:t xml:space="preserve">Бутурлинская</w:t>
      </w:r>
      <w:r>
        <w:rPr>
          <w:color w:val="000000"/>
          <w:sz w:val="28"/>
          <w:szCs w:val="28"/>
        </w:rPr>
        <w:t xml:space="preserve"> жизнь»;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-модернизаци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оборудования администрации </w:t>
      </w:r>
      <w:r>
        <w:rPr>
          <w:color w:val="000000"/>
          <w:sz w:val="28"/>
          <w:szCs w:val="28"/>
        </w:rPr>
        <w:t xml:space="preserve">Бутурлинского</w:t>
      </w:r>
      <w:r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 xml:space="preserve">округа;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-повышение качества предоставления и доступности государственных и муниципальных услуг;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развитие архивного дела;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-повышение эффективности деятельности органов местного самоуправления </w:t>
      </w:r>
      <w:r>
        <w:rPr>
          <w:color w:val="000000"/>
          <w:sz w:val="28"/>
          <w:szCs w:val="28"/>
        </w:rPr>
        <w:t xml:space="preserve">Бутурлинского</w:t>
      </w:r>
      <w:r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 xml:space="preserve">округа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-повышение открытости и прозрачности деятельности органов местного самоуправления для общества.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2.3.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Сроки и этапы реализации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реализуется в 2021</w:t>
      </w:r>
      <w:r>
        <w:rPr>
          <w:sz w:val="28"/>
          <w:szCs w:val="28"/>
        </w:rPr>
        <w:t xml:space="preserve"> - 202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годах.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выполняется в один этап.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"/>
        </w:numPr>
        <w:contextualSpacing/>
        <w:ind w:left="0" w:firstLine="709"/>
        <w:jc w:val="both"/>
        <w:widowControl w:val="off"/>
        <w:tabs>
          <w:tab w:val="num" w:pos="284" w:leader="none"/>
          <w:tab w:val="clear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основных мероприятий муниципальной программы.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2"/>
        <w:contextualSpacing/>
        <w:ind w:firstLine="709"/>
        <w:jc w:val="both"/>
        <w:spacing w:before="0" w:beforeAutospacing="0" w:after="0" w:afterAutospacing="0"/>
        <w:shd w:val="clear" w:color="auto" w:fill="ffffff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 xml:space="preserve">Информация об основных мероприятиях Программы отражена в </w:t>
      </w:r>
      <w:r>
        <w:rPr>
          <w:color w:val="000000" w:themeColor="text1"/>
          <w:spacing w:val="1"/>
          <w:sz w:val="28"/>
          <w:szCs w:val="28"/>
        </w:rPr>
        <w:t xml:space="preserve">  </w:t>
      </w:r>
      <w:r>
        <w:rPr>
          <w:color w:val="000000" w:themeColor="text1"/>
          <w:spacing w:val="1"/>
          <w:sz w:val="28"/>
          <w:szCs w:val="28"/>
        </w:rPr>
        <w:t xml:space="preserve">таблице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pacing w:val="1"/>
          <w:sz w:val="28"/>
          <w:szCs w:val="28"/>
        </w:rPr>
        <w:t xml:space="preserve">1.</w:t>
      </w:r>
      <w:r>
        <w:rPr>
          <w:rStyle w:val="853"/>
          <w:color w:val="000000" w:themeColor="text1"/>
          <w:spacing w:val="1"/>
          <w:sz w:val="28"/>
          <w:szCs w:val="28"/>
        </w:rPr>
        <w:t xml:space="preserve"> </w:t>
      </w:r>
      <w:r>
        <w:rPr>
          <w:color w:val="000000" w:themeColor="text1"/>
          <w:spacing w:val="1"/>
          <w:sz w:val="28"/>
          <w:szCs w:val="28"/>
        </w:rPr>
      </w:r>
      <w:r>
        <w:rPr>
          <w:color w:val="000000" w:themeColor="text1"/>
          <w:spacing w:val="1"/>
          <w:sz w:val="28"/>
          <w:szCs w:val="28"/>
        </w:rPr>
      </w:r>
    </w:p>
    <w:p>
      <w:pPr>
        <w:ind w:firstLine="540"/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1. План реализации муниципальной программы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854"/>
        <w:tblW w:w="1098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81"/>
        <w:gridCol w:w="854"/>
        <w:gridCol w:w="658"/>
        <w:gridCol w:w="1161"/>
        <w:gridCol w:w="701"/>
        <w:gridCol w:w="784"/>
        <w:gridCol w:w="686"/>
        <w:gridCol w:w="769"/>
        <w:gridCol w:w="714"/>
        <w:gridCol w:w="686"/>
        <w:gridCol w:w="868"/>
        <w:gridCol w:w="700"/>
        <w:gridCol w:w="826"/>
      </w:tblGrid>
      <w:tr>
        <w:tblPrEx/>
        <w:trPr/>
        <w:tc>
          <w:tcPr>
            <w:tcW w:w="158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мероприятия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Категория расходов (капвложения, НИОКР и прочие расходы)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Сроки исполнения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Исполнители мероприятий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gridSpan w:val="9"/>
            <w:tcW w:w="67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Оценка расходов (тыс. руб.), годы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1982"/>
        </w:trPr>
        <w:tc>
          <w:tcPr>
            <w:tcW w:w="158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 год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2022 год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2023 год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2024 год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2025 год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2026 год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2027 год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2028 </w:t>
            </w:r>
            <w:r>
              <w:rPr>
                <w:color w:val="000000"/>
                <w:sz w:val="18"/>
                <w:szCs w:val="18"/>
              </w:rPr>
              <w:t xml:space="preserve">год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190"/>
        </w:trPr>
        <w:tc>
          <w:tcPr>
            <w:tcW w:w="158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W w:w="42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Цель: Повышение эффективности деятельности органов местного самоуправления и муниципальных учреждений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округа, направленной на реализацию интересов населения за счет использования современных информационных и телекоммуникационных технологий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3132,2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3186,58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4335,5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3548,05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4751,11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4440,87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3942,38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3942,38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31279,07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1.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Повышение качества предоставления государственных и муниципальных услуг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</w:t>
            </w: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tcW w:w="1161" w:type="dxa"/>
            <w:textDirection w:val="lrTb"/>
            <w:noWrap w:val="false"/>
          </w:tcPr>
          <w:p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Управление по юридическому и организационному обеспечению деятельности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 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и ведение реестра услуг, предоставляемых администрацией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</w:t>
            </w: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Специалист отдела у</w:t>
            </w:r>
            <w:r>
              <w:rPr>
                <w:color w:val="000000"/>
                <w:sz w:val="18"/>
                <w:szCs w:val="18"/>
              </w:rPr>
              <w:t xml:space="preserve">правления по юридическому и организационному обеспечению деятельности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1961"/>
        </w:trPr>
        <w:tc>
          <w:tcPr>
            <w:tcW w:w="1581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Организация работы с населением по внедрению использования официального интернет-портала государственных услуг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</w:t>
            </w: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Управление по юридическому и организационному обеспечению деятельности</w:t>
            </w:r>
            <w:r>
              <w:rPr>
                <w:color w:val="000000"/>
                <w:sz w:val="18"/>
                <w:szCs w:val="18"/>
              </w:rPr>
              <w:t xml:space="preserve"> 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1.3.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Развитие электронного межведомственного взаимодействия при предоставлении услуг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</w:t>
            </w: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Развитие СМИ, в </w:t>
            </w:r>
            <w:r>
              <w:rPr>
                <w:color w:val="000000"/>
                <w:sz w:val="18"/>
                <w:szCs w:val="18"/>
              </w:rPr>
              <w:t xml:space="preserve">т.ч</w:t>
            </w:r>
            <w:r>
              <w:rPr>
                <w:color w:val="000000"/>
                <w:sz w:val="18"/>
                <w:szCs w:val="18"/>
              </w:rPr>
              <w:t xml:space="preserve">. обеспечение доступа к информации о деятельности органов МСУ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</w:t>
            </w: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textDirection w:val="lrTb"/>
            <w:noWrap w:val="false"/>
          </w:tcPr>
          <w:p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Управление по юридическому и организационному обеспечению деятельности</w:t>
            </w:r>
            <w:r>
              <w:rPr>
                <w:color w:val="000000"/>
                <w:sz w:val="18"/>
                <w:szCs w:val="18"/>
              </w:rPr>
              <w:t xml:space="preserve"> 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округа, МАУ «Редакция газеты «</w:t>
            </w:r>
            <w:r>
              <w:rPr>
                <w:color w:val="000000"/>
                <w:sz w:val="18"/>
                <w:szCs w:val="18"/>
              </w:rPr>
              <w:t xml:space="preserve">Бутурлинская</w:t>
            </w:r>
            <w:r>
              <w:rPr>
                <w:color w:val="000000"/>
                <w:sz w:val="18"/>
                <w:szCs w:val="18"/>
              </w:rPr>
              <w:t xml:space="preserve"> жизнь»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2208,9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2332,33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3539,08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3191,35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3971,05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3980,87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3482,38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3482,38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6"/>
                <w:szCs w:val="16"/>
              </w:rPr>
              <w:t xml:space="preserve">26188,34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2.1.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Обеспечение деятельности ведения и развития официального сайта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</w:t>
            </w: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Управление по юридическому и организационному обеспечению деятельности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2.2.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содействия в организации деятельности МАУ «Редакция газеты «</w:t>
            </w:r>
            <w:r>
              <w:rPr>
                <w:color w:val="000000"/>
                <w:sz w:val="18"/>
                <w:szCs w:val="18"/>
              </w:rPr>
              <w:t xml:space="preserve">Бутурлинская</w:t>
            </w:r>
            <w:r>
              <w:rPr>
                <w:color w:val="000000"/>
                <w:sz w:val="18"/>
                <w:szCs w:val="18"/>
              </w:rPr>
              <w:t xml:space="preserve"> жизнь»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</w:t>
            </w: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Управление по юридическому и организационному обеспечению деятельности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округа, МАУ «Редакция газеты «</w:t>
            </w:r>
            <w:r>
              <w:rPr>
                <w:color w:val="000000"/>
                <w:sz w:val="18"/>
                <w:szCs w:val="18"/>
              </w:rPr>
              <w:t xml:space="preserve">Бутурлинская</w:t>
            </w:r>
            <w:r>
              <w:rPr>
                <w:color w:val="000000"/>
                <w:sz w:val="18"/>
                <w:szCs w:val="18"/>
              </w:rPr>
              <w:t xml:space="preserve"> жизнь»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2198,9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2320,33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3527,08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3191,35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3971,05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3980,87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3482,38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3482,38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26154,34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3.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Развитие архивного дела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Управление по юридическому и организационному обеспечению деятельности</w:t>
            </w:r>
            <w:r>
              <w:rPr>
                <w:color w:val="000000"/>
                <w:sz w:val="18"/>
                <w:szCs w:val="18"/>
              </w:rPr>
              <w:t xml:space="preserve"> 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25,0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27,32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82,32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3.1.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Обеспечение сохранности документов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3.2.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Создание страхового фонда документов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22,55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46,55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3.3.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Создание муниципального архива электронных документов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27,32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27,32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3.4.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Создание в муниципальном архиве читального зала, в </w:t>
            </w:r>
            <w:r>
              <w:rPr>
                <w:color w:val="000000"/>
                <w:sz w:val="18"/>
                <w:szCs w:val="18"/>
              </w:rPr>
              <w:t xml:space="preserve">т.ч</w:t>
            </w:r>
            <w:r>
              <w:rPr>
                <w:color w:val="000000"/>
                <w:sz w:val="18"/>
                <w:szCs w:val="18"/>
              </w:rPr>
              <w:t xml:space="preserve">. с использованием электронного фонда архивных документов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4.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Внедрение современных информационных технологий, развитие информационно-телекоммуникационной инфраструктуры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</w:t>
            </w:r>
            <w:r>
              <w:rPr>
                <w:color w:val="000000"/>
                <w:sz w:val="18"/>
                <w:szCs w:val="18"/>
              </w:rPr>
              <w:t xml:space="preserve">ы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t xml:space="preserve">Управление по юридическому и организационному обеспечению деятельности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898,3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824,25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769,1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356,7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780,06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5008,41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4.1.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Развитие корпоративной локальной сети передачи данных 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224,8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224,8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Модернизация автоматизированных рабочих мест, в </w:t>
            </w:r>
            <w:r>
              <w:rPr>
                <w:color w:val="000000"/>
                <w:sz w:val="18"/>
                <w:szCs w:val="18"/>
              </w:rPr>
              <w:t xml:space="preserve">т.ч</w:t>
            </w:r>
            <w:r>
              <w:rPr>
                <w:color w:val="000000"/>
                <w:sz w:val="18"/>
                <w:szCs w:val="18"/>
              </w:rPr>
              <w:t xml:space="preserve">. приобретение компьютерной техники и оргтехники, сетевого и телекоммуникационного оборудования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644,25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725,1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84,48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650,06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</w:rPr>
              <w:t xml:space="preserve">2548,89</w:t>
            </w:r>
            <w:r>
              <w:rPr>
                <w:color w:val="000000"/>
                <w:sz w:val="18"/>
                <w:szCs w:val="18"/>
                <w:highlight w:val="none"/>
              </w:rPr>
            </w:r>
            <w:r>
              <w:rPr>
                <w:color w:val="000000"/>
                <w:sz w:val="18"/>
                <w:szCs w:val="18"/>
                <w:highlight w:val="none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4.3.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Переаттестация АРМ по секретному делопроизводств</w:t>
            </w:r>
            <w:r>
              <w:rPr>
                <w:color w:val="000000"/>
                <w:sz w:val="18"/>
                <w:szCs w:val="18"/>
              </w:rPr>
              <w:t xml:space="preserve">у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238,5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5,44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178,7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902,64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4.4.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Приобретение расходных материалов для компьютерной и копировальной техники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93,52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993,52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58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4.5.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Обучение сотрудников, ответственных за защиту информации в 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Прочие расходы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5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2021- 2027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54,56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8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44,0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338,56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ind w:firstLine="540"/>
        <w:jc w:val="both"/>
        <w:rPr>
          <w:color w:val="ff0000"/>
        </w:rPr>
      </w:pPr>
      <w:r>
        <w:rPr>
          <w:color w:val="ff0000"/>
        </w:rPr>
        <w:t xml:space="preserve"> </w:t>
      </w:r>
      <w:r>
        <w:rPr>
          <w:color w:val="ff0000"/>
        </w:rPr>
      </w:r>
      <w:r>
        <w:rPr>
          <w:color w:val="ff0000"/>
        </w:rPr>
      </w:r>
    </w:p>
    <w:p>
      <w:pPr>
        <w:ind w:firstLine="54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2.5. Индикаторы достижения цели и непосредственные результаты реализации муниципальной программы.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8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center"/>
        <w:widowControl w:val="off"/>
        <w:rPr>
          <w:color w:val="000000"/>
          <w:sz w:val="28"/>
          <w:szCs w:val="28"/>
        </w:rPr>
        <w:outlineLvl w:val="4"/>
      </w:pPr>
      <w:r>
        <w:rPr>
          <w:color w:val="000000"/>
          <w:sz w:val="28"/>
          <w:szCs w:val="28"/>
        </w:rPr>
        <w:t xml:space="preserve">Таблица 2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Сведения об индикаторах и непосредственных результатах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10632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1"/>
        <w:gridCol w:w="3402"/>
        <w:gridCol w:w="623"/>
        <w:gridCol w:w="763"/>
        <w:gridCol w:w="714"/>
        <w:gridCol w:w="699"/>
        <w:gridCol w:w="770"/>
        <w:gridCol w:w="740"/>
        <w:gridCol w:w="850"/>
        <w:gridCol w:w="762"/>
        <w:gridCol w:w="79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№ п/п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индикатора/ непосредственного результата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vAlign w:val="center"/>
            <w:vMerge w:val="restart"/>
            <w:textDirection w:val="lrTb"/>
            <w:noWrap w:val="false"/>
          </w:tcPr>
          <w:p>
            <w:pPr>
              <w:ind w:left="-75" w:right="-75"/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измерения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Значение индикатора/непосредственного результата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3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Муниципальная программа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«Информационное общество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области»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3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9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Индикатор 1.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индикатор: доля услуг, оказываемых в </w:t>
            </w:r>
            <w:r>
              <w:rPr>
                <w:color w:val="000000"/>
                <w:sz w:val="18"/>
                <w:szCs w:val="18"/>
              </w:rPr>
              <w:t xml:space="preserve">электронном виде от общего количества оказываемых услуг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%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Непосредственный результат 1. количество специалистов по защите (технической защите) информации органов местного самоуправления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органа, проходящих обучение по вопросам информационной безопасности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Чел.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widowControl w:val="off"/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2 индикатор - уровень обеспеченности местным печатным СМИ жителей 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Бутурлинского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 района   газетой «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Бутурлинская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 жизнь» 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%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widowControl w:val="off"/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Непосредственный результат 2 – информационное обеспечение жителей 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Бутурлинского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 муниципального округа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Экз.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1606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1519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1415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widowControl w:val="off"/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3 индикатор – объем страхового фонда на территории 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Бутурлинского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 муниципального округа 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%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widowControl w:val="off"/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Непосредственный результат 3 – увеличение страхового фонда на территории 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Бутурлинского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  <w:t xml:space="preserve"> муниципального округа </w:t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r>
            <w:r>
              <w:rPr>
                <w:color w:val="000000" w:themeColor="text1"/>
                <w:spacing w:val="1"/>
                <w:sz w:val="18"/>
                <w:szCs w:val="18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ind w:firstLine="540"/>
        <w:jc w:val="both"/>
        <w:spacing w:after="240"/>
        <w:widowControl w:val="off"/>
        <w:tabs>
          <w:tab w:val="left" w:pos="5800" w:leader="none"/>
        </w:tabs>
        <w:rPr>
          <w:b/>
          <w:color w:val="000000"/>
          <w:sz w:val="28"/>
          <w:szCs w:val="28"/>
        </w:rPr>
        <w:outlineLvl w:val="3"/>
      </w:pPr>
      <w:r>
        <w:rPr>
          <w:b/>
          <w:color w:val="000000"/>
          <w:sz w:val="28"/>
          <w:szCs w:val="28"/>
        </w:rPr>
        <w:t xml:space="preserve">2.6. Меры правового регулирования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540"/>
        <w:jc w:val="both"/>
        <w:rPr>
          <w:color w:val="000000"/>
          <w:sz w:val="28"/>
        </w:rPr>
      </w:pPr>
      <w:r/>
      <w:bookmarkStart w:id="1" w:name="Par819"/>
      <w:r/>
      <w:bookmarkEnd w:id="1"/>
      <w:r>
        <w:rPr>
          <w:color w:val="000000"/>
          <w:sz w:val="28"/>
        </w:rPr>
        <w:t xml:space="preserve">Принятие новых правовых актов в рамках Программы не планируется.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jc w:val="both"/>
        <w:widowControl w:val="off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firstLine="540"/>
        <w:jc w:val="both"/>
        <w:spacing w:after="240"/>
        <w:widowControl w:val="off"/>
        <w:rPr>
          <w:b/>
          <w:color w:val="000000"/>
          <w:sz w:val="28"/>
          <w:szCs w:val="28"/>
        </w:rPr>
        <w:outlineLvl w:val="3"/>
      </w:pPr>
      <w:r>
        <w:rPr>
          <w:b/>
          <w:color w:val="000000"/>
          <w:sz w:val="28"/>
          <w:szCs w:val="28"/>
        </w:rPr>
        <w:t xml:space="preserve">2.7.Обоснование объема финансовых ресурсов.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540"/>
        <w:jc w:val="center"/>
        <w:spacing w:after="240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Таблица 4. Ресурсное обеспечение реализации Программы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средств областного бюджета и бюджета муниципального округа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989" w:type="dxa"/>
        <w:tblInd w:w="-84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42"/>
        <w:gridCol w:w="882"/>
        <w:gridCol w:w="1442"/>
        <w:gridCol w:w="672"/>
        <w:gridCol w:w="924"/>
        <w:gridCol w:w="924"/>
        <w:gridCol w:w="924"/>
        <w:gridCol w:w="923"/>
        <w:gridCol w:w="910"/>
        <w:gridCol w:w="910"/>
        <w:gridCol w:w="910"/>
        <w:gridCol w:w="826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Статус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муниципальной программы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Муниципальный заказчик-координатор, соисполнители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2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(тыс. руб.), годы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2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2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2021 год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 год планового периода (2022)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 год планового периода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(2023)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 год планового периода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(2024)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4 год планового периода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(2025)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5 год планового периода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(2026)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6 год планового периода (2027)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7 год планового периода (2028)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ИТОГО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4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5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6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7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9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trHeight w:val="368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2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 «Информационное общество </w:t>
            </w:r>
            <w:r>
              <w:rPr>
                <w:sz w:val="18"/>
                <w:szCs w:val="18"/>
              </w:rPr>
              <w:t xml:space="preserve">Бутурлинского</w:t>
            </w:r>
            <w:r>
              <w:rPr>
                <w:sz w:val="18"/>
                <w:szCs w:val="18"/>
              </w:rPr>
              <w:t xml:space="preserve"> муниципального округа Нижегородской области»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3132,2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3186,58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4335,5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3548,05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4751,11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4440,87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3942,38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3942,38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vAlign w:val="center"/>
            <w:textDirection w:val="lrTb"/>
            <w:noWrap w:val="false"/>
          </w:tcPr>
          <w:p>
            <w:r>
              <w:rPr>
                <w:b/>
                <w:color w:val="000000"/>
                <w:sz w:val="18"/>
                <w:szCs w:val="18"/>
                <w:highlight w:val="none"/>
              </w:rPr>
              <w:t xml:space="preserve">31279,07</w:t>
            </w:r>
            <w:r>
              <w:rPr>
                <w:b/>
                <w:color w:val="000000"/>
                <w:sz w:val="18"/>
                <w:szCs w:val="18"/>
              </w:rPr>
            </w:r>
            <w:r/>
          </w:p>
        </w:tc>
      </w:tr>
      <w:tr>
        <w:tblPrEx/>
        <w:trPr/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162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муниципальный заказчик-координатор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1526,4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1680,11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2368,24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1301,65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2308,91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1956,48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1556,48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1556,48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t xml:space="preserve">14254,75</w:t>
            </w:r>
            <w:r>
              <w:rPr>
                <w:b/>
                <w:sz w:val="18"/>
                <w:szCs w:val="18"/>
                <w:highlight w:val="yellow"/>
                <w:lang w:val="en-US"/>
              </w:rPr>
            </w:r>
            <w:r>
              <w:rPr>
                <w:b/>
                <w:sz w:val="18"/>
                <w:szCs w:val="18"/>
                <w:highlight w:val="yellow"/>
                <w:lang w:val="en-US"/>
              </w:rPr>
            </w:r>
          </w:p>
        </w:tc>
      </w:tr>
      <w:tr>
        <w:tblPrEx/>
        <w:trPr>
          <w:trHeight w:val="922"/>
        </w:trPr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Соисполнители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ff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(Областной бюджет)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1605,8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1506,47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1967,26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2246,4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2442,2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 xml:space="preserve">2484,39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2385,9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2385,9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17024,32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</w:tbl>
    <w:p>
      <w:pPr>
        <w:ind w:firstLine="540"/>
        <w:jc w:val="both"/>
        <w:widowControl w:val="off"/>
        <w:rPr>
          <w:b/>
          <w:color w:val="ff0000"/>
          <w:sz w:val="28"/>
          <w:szCs w:val="28"/>
        </w:rPr>
        <w:outlineLvl w:val="3"/>
      </w:pPr>
      <w:r>
        <w:rPr>
          <w:b/>
          <w:color w:val="ff0000"/>
          <w:sz w:val="28"/>
          <w:szCs w:val="28"/>
        </w:rPr>
      </w:r>
      <w:r>
        <w:rPr>
          <w:b/>
          <w:color w:val="ff0000"/>
          <w:sz w:val="28"/>
          <w:szCs w:val="28"/>
        </w:rPr>
      </w:r>
      <w:r>
        <w:rPr>
          <w:b/>
          <w:color w:val="ff0000"/>
          <w:sz w:val="28"/>
          <w:szCs w:val="28"/>
        </w:rPr>
      </w:r>
    </w:p>
    <w:p>
      <w:pPr>
        <w:ind w:firstLine="708"/>
        <w:jc w:val="center"/>
        <w:spacing w:after="240" w:line="276" w:lineRule="auto"/>
        <w:widowControl w:val="off"/>
        <w:rPr>
          <w:sz w:val="28"/>
          <w:szCs w:val="28"/>
        </w:rPr>
        <w:outlineLvl w:val="4"/>
      </w:pPr>
      <w:r>
        <w:rPr>
          <w:sz w:val="28"/>
          <w:szCs w:val="28"/>
        </w:rPr>
        <w:t xml:space="preserve">Таблица 5. Прогнозная оценка расходов на реализацию Программы за счет всех источников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54"/>
        <w:tblW w:w="10782" w:type="dxa"/>
        <w:tblInd w:w="-760" w:type="dxa"/>
        <w:tblLayout w:type="fixed"/>
        <w:tblLook w:val="04A0" w:firstRow="1" w:lastRow="0" w:firstColumn="1" w:lastColumn="0" w:noHBand="0" w:noVBand="1"/>
      </w:tblPr>
      <w:tblGrid>
        <w:gridCol w:w="1435"/>
        <w:gridCol w:w="1134"/>
        <w:gridCol w:w="1267"/>
        <w:gridCol w:w="709"/>
        <w:gridCol w:w="708"/>
        <w:gridCol w:w="851"/>
        <w:gridCol w:w="744"/>
        <w:gridCol w:w="784"/>
        <w:gridCol w:w="784"/>
        <w:gridCol w:w="728"/>
        <w:gridCol w:w="725"/>
        <w:gridCol w:w="913"/>
      </w:tblGrid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 w:themeColor="text1"/>
                <w:sz w:val="18"/>
                <w:szCs w:val="18"/>
              </w:rPr>
              <w:t xml:space="preserve">Статус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 w:themeColor="text1"/>
                <w:sz w:val="18"/>
                <w:szCs w:val="18"/>
              </w:rPr>
              <w:t xml:space="preserve">Наименование подпрограммы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 w:themeColor="text1"/>
                <w:sz w:val="18"/>
                <w:szCs w:val="18"/>
              </w:rPr>
              <w:t xml:space="preserve">Источники финансирования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gridSpan w:val="9"/>
            <w:tcW w:w="694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 w:themeColor="text1"/>
                <w:sz w:val="18"/>
                <w:szCs w:val="18"/>
              </w:rPr>
              <w:t xml:space="preserve">Оценка расходов (тыс. руб.), годы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-75" w:right="-75"/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ind w:left="-75" w:right="-75"/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-75" w:right="-75"/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2023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ind w:left="-75" w:right="-75"/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2024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2025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2026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2027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2028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ВСЕГО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W w:w="2569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sz w:val="18"/>
                <w:szCs w:val="18"/>
              </w:rPr>
              <w:t xml:space="preserve">Муниципальная программа «Информационное общество </w:t>
            </w:r>
            <w:r>
              <w:rPr>
                <w:sz w:val="18"/>
                <w:szCs w:val="18"/>
              </w:rPr>
              <w:t xml:space="preserve">Бутурлинского</w:t>
            </w:r>
            <w:r>
              <w:rPr>
                <w:sz w:val="18"/>
                <w:szCs w:val="18"/>
              </w:rPr>
              <w:t xml:space="preserve"> муниципального округа Нижегородской области»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3132,2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3186,58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4335,5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3548,05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4751,11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4342,38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3942,38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3942,38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31279,07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</w:tr>
      <w:tr>
        <w:tblPrEx/>
        <w:trPr/>
        <w:tc>
          <w:tcPr>
            <w:gridSpan w:val="2"/>
            <w:tcW w:w="2569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1526,4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1680,11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2368,24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1301,65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2308,91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1956,48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1556,48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1556,48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14254,75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</w:tr>
      <w:tr>
        <w:tblPrEx/>
        <w:trPr/>
        <w:tc>
          <w:tcPr>
            <w:gridSpan w:val="2"/>
            <w:tcW w:w="2569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(2) расходы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областного бюджета &lt;**&gt;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1605,</w:t>
            </w:r>
            <w:r>
              <w:rPr>
                <w:b/>
                <w:sz w:val="18"/>
                <w:szCs w:val="18"/>
              </w:rPr>
              <w:t xml:space="preserve">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1506,</w:t>
            </w:r>
            <w:r>
              <w:rPr>
                <w:b/>
                <w:sz w:val="18"/>
                <w:szCs w:val="18"/>
              </w:rPr>
              <w:t xml:space="preserve">47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1967,26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2246,4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2442,2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2484,39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2385,9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2385,9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17024,32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</w:tr>
      <w:tr>
        <w:tblPrEx/>
        <w:trPr/>
        <w:tc>
          <w:tcPr>
            <w:gridSpan w:val="2"/>
            <w:tcW w:w="2569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W w:w="2569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W w:w="2569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1.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Повышение качества предоставления государственных и муниципальных услуг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Формирование и ведение реестра услуг, предоставляемых администрацией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Организация работы с населением по внедрению использования официального интернет-портала государственных услуг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1.3.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Развитие электронного межведомственного взаимодействия при предоставлении услуг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Развитие СМИ, в </w:t>
            </w:r>
            <w:r>
              <w:rPr>
                <w:color w:val="000000"/>
                <w:sz w:val="18"/>
                <w:szCs w:val="18"/>
              </w:rPr>
              <w:t xml:space="preserve">т.ч</w:t>
            </w:r>
            <w:r>
              <w:rPr>
                <w:color w:val="000000"/>
                <w:sz w:val="18"/>
                <w:szCs w:val="18"/>
              </w:rPr>
              <w:t xml:space="preserve">. обеспечение доступа к информации о </w:t>
            </w:r>
            <w:r>
              <w:rPr>
                <w:color w:val="000000"/>
                <w:sz w:val="18"/>
                <w:szCs w:val="18"/>
              </w:rPr>
              <w:t xml:space="preserve">деятельности органов МСУ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2208,9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2332,33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3539,08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3191,35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3971,05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3980,87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3482,38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3482,38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26188,34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751,8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825,86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1571,82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944,95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1528,85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1496,48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1096,48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1096,48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9312,72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1457,1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1506,47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1967,26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2246,4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2442,2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2484,39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2385,9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2385,9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16875,63</w:t>
            </w:r>
            <w:r>
              <w:rPr>
                <w:b/>
                <w:sz w:val="18"/>
                <w:szCs w:val="18"/>
                <w:highlight w:val="yellow"/>
              </w:rPr>
            </w:r>
            <w:r>
              <w:rPr>
                <w:b/>
                <w:sz w:val="18"/>
                <w:szCs w:val="18"/>
                <w:highlight w:val="yellow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2.1.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Обеспечение деятельности ведения и развития официального сайта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2.2.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Оказание содействия в организации деятельности МАУ «Редакция газеты «</w:t>
            </w:r>
            <w:r>
              <w:rPr>
                <w:color w:val="000000"/>
                <w:sz w:val="18"/>
                <w:szCs w:val="18"/>
              </w:rPr>
              <w:t xml:space="preserve">Бутурлинская</w:t>
            </w:r>
            <w:r>
              <w:rPr>
                <w:color w:val="000000"/>
                <w:sz w:val="18"/>
                <w:szCs w:val="18"/>
              </w:rPr>
              <w:t xml:space="preserve"> жизнь»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2198,9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2320,33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3527,08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3191,35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3971,05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3882,38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3482,38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3482,38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26154,34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741,8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813,86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1559,82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944,95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1528,85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1496,48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1096,48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1096,48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9278,72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1457,1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1506,47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1967,26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2246,4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2442,2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2385,9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2385,9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2385,9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16875,63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3.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Развитие архивного дела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25,0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27,32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82,32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25,0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27,32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82,32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3.1.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Обеспечение сохранности документов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2,45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6,0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3.2.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Создание страхового фонда документов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22,55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46,55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22,55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46,55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3.3.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Создание муниципального архива электронных документов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27,32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27,32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27,32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27,32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3.4.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Создание в муниципальном архиве читального зала, в </w:t>
            </w:r>
            <w:r>
              <w:rPr>
                <w:color w:val="000000"/>
                <w:sz w:val="18"/>
                <w:szCs w:val="18"/>
              </w:rPr>
              <w:t xml:space="preserve">т.ч</w:t>
            </w:r>
            <w:r>
              <w:rPr>
                <w:color w:val="000000"/>
                <w:sz w:val="18"/>
                <w:szCs w:val="18"/>
              </w:rPr>
              <w:t xml:space="preserve">. с использованием электронного фонда архивных документов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4.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Внедрение современных информационных технологий, развитие информационно-телекоммуникационной инфраструктуры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Всего (1) + (2) + (3) + (4) + (5)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898,3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824,25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769,1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356,7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780,06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5008,41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749,6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824,25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769,1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356,7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780,06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460,0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4859,71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148,7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148,7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4.1.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Развитие корпоративной локальной сети передачи данных 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224,8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224,8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76,1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76,1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148,7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148,7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4.2.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Модернизация автоматизированных рабочих мест, в </w:t>
            </w:r>
            <w:r>
              <w:rPr>
                <w:color w:val="000000"/>
                <w:sz w:val="18"/>
                <w:szCs w:val="18"/>
              </w:rPr>
              <w:t xml:space="preserve">т.ч</w:t>
            </w:r>
            <w:r>
              <w:rPr>
                <w:color w:val="000000"/>
                <w:sz w:val="18"/>
                <w:szCs w:val="18"/>
              </w:rPr>
              <w:t xml:space="preserve">. приобретение </w:t>
            </w:r>
            <w:r>
              <w:rPr>
                <w:color w:val="000000"/>
                <w:sz w:val="18"/>
                <w:szCs w:val="18"/>
              </w:rPr>
              <w:t xml:space="preserve">компьютерной техники и оргтехники, сетевого и телекоммуникационного оборудования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644,25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725,1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84,48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650,06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2548,89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644,25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725,1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84,48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650,06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2548,89</w:t>
            </w:r>
            <w:r/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4.3.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Переаттестация АРМ по секретному делопроизводству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238,5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5,44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178,7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902,64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238,5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5,44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178,7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902,64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4.4.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Приобретение расходных материалов для компьютерной и копировальной техники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120,0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93,52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</w:rPr>
              <w:t xml:space="preserve">993,52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120,0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93,52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993,52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4.5.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  <w:t xml:space="preserve">Обучение сотрудников, ответственных за защиту информации в администрации </w:t>
            </w:r>
            <w:r>
              <w:rPr>
                <w:color w:val="000000"/>
                <w:sz w:val="18"/>
                <w:szCs w:val="18"/>
              </w:rPr>
              <w:t xml:space="preserve">Бутурлинского</w:t>
            </w:r>
            <w:r>
              <w:rPr>
                <w:color w:val="000000"/>
                <w:sz w:val="18"/>
                <w:szCs w:val="18"/>
              </w:rPr>
              <w:t xml:space="preserve"> муниципального округа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Всего (1) + (2) + (3) + (4) + (5)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54,56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44,0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338,56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(1) расходы местных бюджетов &lt;*&gt;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54,56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44,0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338,56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бюджета &lt;**&gt;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федерального бюджета &lt;***&gt;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43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  <w:outlineLvl w:val="3"/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ind w:firstLine="540"/>
        <w:jc w:val="both"/>
        <w:widowControl w:val="off"/>
        <w:rPr>
          <w:color w:val="000000"/>
          <w:sz w:val="28"/>
          <w:szCs w:val="28"/>
        </w:rPr>
        <w:outlineLvl w:val="3"/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40"/>
        <w:jc w:val="both"/>
        <w:widowControl w:val="off"/>
        <w:rPr>
          <w:b/>
          <w:color w:val="000000"/>
          <w:sz w:val="28"/>
          <w:szCs w:val="28"/>
        </w:rPr>
        <w:outlineLvl w:val="3"/>
      </w:pPr>
      <w:r>
        <w:rPr>
          <w:b/>
          <w:color w:val="000000"/>
          <w:sz w:val="28"/>
          <w:szCs w:val="28"/>
        </w:rPr>
        <w:t xml:space="preserve">2.8. Анализ рисков реализации Программы.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возможным внешним факторам, негативно влияющим на реализацию Программы, относятся: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отсутствие финансирования (неполное финансирование) из источников, предусмотренных Программой;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изменение законодательства.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или неполное финансирование мероприятий Программы компенсируется через проведение мероприятий по корректировке сроков исполнения и сумм финансирования на последующие периоды реализации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программно-целевого метода и принятие Программы позволит значительно минимизировать возможные риски, связанные с ее реализацией. Позволит более эффективно расходовать денежные средства.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Оценка планируемой эффективности Программы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40"/>
        <w:jc w:val="both"/>
        <w:rPr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Оценка эффективности реализации Программы осуществляется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организационно-правовым управлением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администрации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Бутурлинского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 муниципального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округа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 по итогам реализации Программы и оценки результативности Программы на основании данных, представленных исполнителями мероприятий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П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рограмм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ы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.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</w:r>
    </w:p>
    <w:p>
      <w:pPr>
        <w:ind w:firstLine="709"/>
        <w:jc w:val="both"/>
        <w:widowControl w:val="off"/>
        <w:rPr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Реализация мероприятий Программы по внедрению информационных технологий в деятельность администрации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округа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 является затратной, но реализация данных мероприятий должна создать предпосылки для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формирования информационного общества в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Бутурлинском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округе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,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а,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следовательно,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 и в Нижегородской области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 н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а основе внедрения и массового распространения информационно-коммуникационных технологий, повышения эффективности межведомственного взаимодействия и обеспечения предоставления государственных и муниципальных услуг в электронном виде населению.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</w:r>
    </w:p>
    <w:p>
      <w:pPr>
        <w:ind w:firstLine="709"/>
        <w:jc w:val="both"/>
        <w:widowControl w:val="off"/>
        <w:rPr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Положительная динамика прямой общественно-экономической эффективности по данным мероприятиям будет свидетельствовать о повышении уровня доступности для граждан государственных и муници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пальных услуг в электронном виде. Также можно выделить косвенную общественно-экономическую эффективность - повышение уровня качества жизни населения Нижегородской области за счет использования возможностей информационных и телекоммуникационных технологий.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Уровень укомплектованности администрации 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округа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 профессиональными</w:t>
      </w:r>
      <w:r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, обученными и опытными сотрудниками обеспечит качественную и бесперебойную работу по реализации Программы. Постоянное, плановое повышение квалификации, должностной рост муниципальных служащих существенно повысят привлекательность муниципальной службы.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3"/>
        <w:jc w:val="center"/>
        <w:spacing w:after="24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1" w:bottom="709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 w:cs="Times New Roman"/>
        <w:color w:val="ff0000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color w:val="ff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color w:val="ff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color w:val="ff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color w:val="ff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  <w:color w:val="ff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  <w:color w:val="ff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hint="default" w:cs="Times New Roman"/>
        <w:color w:val="ff0000"/>
      </w:r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>
    <w:multiLevelType w:val="hybridMultilevel"/>
    <w:lvl w:ilvl="0">
      <w:start w:val="2017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37"/>
    <w:next w:val="837"/>
    <w:link w:val="66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6">
    <w:name w:val="Heading 1 Char"/>
    <w:basedOn w:val="838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7">
    <w:name w:val="Heading 2"/>
    <w:basedOn w:val="837"/>
    <w:next w:val="837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8">
    <w:name w:val="Heading 2 Char"/>
    <w:basedOn w:val="838"/>
    <w:link w:val="667"/>
    <w:uiPriority w:val="9"/>
    <w:rPr>
      <w:rFonts w:ascii="Liberation Sans" w:hAnsi="Liberation Sans" w:eastAsia="Liberation Sans" w:cs="Liberation Sans"/>
      <w:sz w:val="34"/>
    </w:rPr>
  </w:style>
  <w:style w:type="paragraph" w:styleId="669">
    <w:name w:val="Heading 3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0">
    <w:name w:val="Heading 3 Char"/>
    <w:basedOn w:val="838"/>
    <w:link w:val="6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1">
    <w:name w:val="Heading 4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>
    <w:name w:val="Heading 4 Char"/>
    <w:basedOn w:val="838"/>
    <w:link w:val="67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3">
    <w:name w:val="Heading 5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>
    <w:name w:val="Heading 5 Char"/>
    <w:basedOn w:val="838"/>
    <w:link w:val="6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5">
    <w:name w:val="Heading 6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6">
    <w:name w:val="Heading 6 Char"/>
    <w:basedOn w:val="838"/>
    <w:link w:val="67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7">
    <w:name w:val="Heading 7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8">
    <w:name w:val="Heading 7 Char"/>
    <w:basedOn w:val="838"/>
    <w:link w:val="67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9">
    <w:name w:val="Heading 8"/>
    <w:basedOn w:val="837"/>
    <w:next w:val="837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0">
    <w:name w:val="Heading 8 Char"/>
    <w:basedOn w:val="838"/>
    <w:link w:val="67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1">
    <w:name w:val="Heading 9"/>
    <w:basedOn w:val="837"/>
    <w:next w:val="837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2">
    <w:name w:val="Heading 9 Char"/>
    <w:basedOn w:val="838"/>
    <w:link w:val="68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3">
    <w:name w:val="No Spacing"/>
    <w:uiPriority w:val="1"/>
    <w:qFormat/>
    <w:pPr>
      <w:spacing w:before="0" w:after="0" w:line="240" w:lineRule="auto"/>
    </w:pPr>
  </w:style>
  <w:style w:type="character" w:styleId="684">
    <w:name w:val="Title Char"/>
    <w:basedOn w:val="838"/>
    <w:link w:val="844"/>
    <w:uiPriority w:val="10"/>
    <w:rPr>
      <w:sz w:val="48"/>
      <w:szCs w:val="48"/>
    </w:rPr>
  </w:style>
  <w:style w:type="paragraph" w:styleId="685">
    <w:name w:val="Subtitle"/>
    <w:basedOn w:val="837"/>
    <w:next w:val="837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basedOn w:val="838"/>
    <w:link w:val="685"/>
    <w:uiPriority w:val="11"/>
    <w:rPr>
      <w:sz w:val="24"/>
      <w:szCs w:val="24"/>
    </w:rPr>
  </w:style>
  <w:style w:type="paragraph" w:styleId="687">
    <w:name w:val="Quote"/>
    <w:basedOn w:val="837"/>
    <w:next w:val="837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37"/>
    <w:next w:val="837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character" w:styleId="691">
    <w:name w:val="Header Char"/>
    <w:basedOn w:val="838"/>
    <w:link w:val="841"/>
    <w:uiPriority w:val="99"/>
  </w:style>
  <w:style w:type="character" w:styleId="692">
    <w:name w:val="Footer Char"/>
    <w:basedOn w:val="838"/>
    <w:link w:val="862"/>
    <w:uiPriority w:val="99"/>
  </w:style>
  <w:style w:type="paragraph" w:styleId="693">
    <w:name w:val="Caption"/>
    <w:basedOn w:val="837"/>
    <w:next w:val="837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38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3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4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9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rPr>
      <w:rFonts w:ascii="Times New Roman" w:hAnsi="Times New Roman" w:eastAsia="Times New Roman"/>
      <w:sz w:val="24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>
    <w:name w:val="Header"/>
    <w:basedOn w:val="837"/>
    <w:link w:val="842"/>
    <w:uiPriority w:val="99"/>
    <w:pPr>
      <w:tabs>
        <w:tab w:val="center" w:pos="4536" w:leader="none"/>
        <w:tab w:val="right" w:pos="9072" w:leader="none"/>
      </w:tabs>
    </w:pPr>
  </w:style>
  <w:style w:type="character" w:styleId="842" w:customStyle="1">
    <w:name w:val="Верхний колонтитул Знак"/>
    <w:basedOn w:val="838"/>
    <w:link w:val="841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843" w:customStyle="1">
    <w:name w:val="ConsPlusTitle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44">
    <w:name w:val="Title"/>
    <w:basedOn w:val="837"/>
    <w:link w:val="845"/>
    <w:uiPriority w:val="99"/>
    <w:qFormat/>
    <w:pPr>
      <w:jc w:val="center"/>
    </w:pPr>
    <w:rPr>
      <w:b/>
      <w:sz w:val="32"/>
    </w:rPr>
  </w:style>
  <w:style w:type="character" w:styleId="845" w:customStyle="1">
    <w:name w:val="Название Знак"/>
    <w:basedOn w:val="838"/>
    <w:link w:val="844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846">
    <w:name w:val="Body Text"/>
    <w:basedOn w:val="837"/>
    <w:link w:val="847"/>
    <w:uiPriority w:val="99"/>
    <w:pPr>
      <w:spacing w:after="120"/>
    </w:pPr>
  </w:style>
  <w:style w:type="character" w:styleId="847" w:customStyle="1">
    <w:name w:val="Основной текст Знак"/>
    <w:basedOn w:val="838"/>
    <w:link w:val="846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848" w:customStyle="1">
    <w:name w:val="ConsPlusNonformat"/>
    <w:uiPriority w:val="99"/>
    <w:pPr>
      <w:widowControl w:val="off"/>
    </w:pPr>
    <w:rPr>
      <w:rFonts w:ascii="Courier New" w:hAnsi="Courier New" w:eastAsia="Times New Roman" w:cs="Courier New"/>
    </w:rPr>
  </w:style>
  <w:style w:type="character" w:styleId="849" w:customStyle="1">
    <w:name w:val="Font Style13"/>
    <w:basedOn w:val="838"/>
    <w:uiPriority w:val="99"/>
    <w:rPr>
      <w:rFonts w:ascii="Times New Roman" w:hAnsi="Times New Roman" w:cs="Times New Roman"/>
      <w:sz w:val="26"/>
      <w:szCs w:val="26"/>
    </w:rPr>
  </w:style>
  <w:style w:type="paragraph" w:styleId="850">
    <w:name w:val="List Paragraph"/>
    <w:basedOn w:val="837"/>
    <w:uiPriority w:val="99"/>
    <w:qFormat/>
    <w:pPr>
      <w:contextualSpacing/>
      <w:ind w:left="720"/>
    </w:pPr>
  </w:style>
  <w:style w:type="paragraph" w:styleId="851" w:customStyle="1">
    <w:name w:val="ConsPlusCell"/>
    <w:uiPriority w:val="99"/>
    <w:pPr>
      <w:widowControl w:val="off"/>
    </w:pPr>
    <w:rPr>
      <w:rFonts w:ascii="Arial" w:hAnsi="Arial" w:eastAsia="Times New Roman" w:cs="Arial"/>
    </w:rPr>
  </w:style>
  <w:style w:type="paragraph" w:styleId="852" w:customStyle="1">
    <w:name w:val="formattext topleveltext"/>
    <w:basedOn w:val="837"/>
    <w:uiPriority w:val="99"/>
    <w:pPr>
      <w:spacing w:before="100" w:beforeAutospacing="1" w:after="100" w:afterAutospacing="1"/>
    </w:pPr>
    <w:rPr>
      <w:rFonts w:eastAsia="Calibri"/>
      <w:szCs w:val="24"/>
    </w:rPr>
  </w:style>
  <w:style w:type="character" w:styleId="853" w:customStyle="1">
    <w:name w:val="apple-converted-space"/>
    <w:basedOn w:val="838"/>
    <w:uiPriority w:val="99"/>
    <w:rPr>
      <w:rFonts w:cs="Times New Roman"/>
    </w:rPr>
  </w:style>
  <w:style w:type="table" w:styleId="854">
    <w:name w:val="Table Grid"/>
    <w:basedOn w:val="8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55">
    <w:name w:val="Balloon Text"/>
    <w:basedOn w:val="837"/>
    <w:link w:val="856"/>
    <w:uiPriority w:val="99"/>
    <w:semiHidden/>
    <w:unhideWhenUsed/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basedOn w:val="838"/>
    <w:link w:val="855"/>
    <w:uiPriority w:val="99"/>
    <w:semiHidden/>
    <w:rPr>
      <w:rFonts w:ascii="Tahoma" w:hAnsi="Tahoma" w:eastAsia="Times New Roman" w:cs="Tahoma"/>
      <w:sz w:val="16"/>
      <w:szCs w:val="16"/>
    </w:rPr>
  </w:style>
  <w:style w:type="character" w:styleId="857">
    <w:name w:val="Hyperlink"/>
    <w:basedOn w:val="838"/>
    <w:uiPriority w:val="99"/>
    <w:unhideWhenUsed/>
    <w:rPr>
      <w:color w:val="0000ff" w:themeColor="hyperlink"/>
      <w:u w:val="single"/>
    </w:rPr>
  </w:style>
  <w:style w:type="character" w:styleId="858">
    <w:name w:val="FollowedHyperlink"/>
    <w:basedOn w:val="838"/>
    <w:uiPriority w:val="99"/>
    <w:semiHidden/>
    <w:unhideWhenUsed/>
    <w:rPr>
      <w:color w:val="800080" w:themeColor="followedHyperlink"/>
      <w:u w:val="single"/>
    </w:rPr>
  </w:style>
  <w:style w:type="character" w:styleId="859">
    <w:name w:val="Intense Emphasis"/>
    <w:basedOn w:val="838"/>
    <w:uiPriority w:val="21"/>
    <w:qFormat/>
    <w:rPr>
      <w:i/>
      <w:iCs/>
      <w:color w:val="4f81bd" w:themeColor="accent1"/>
    </w:rPr>
  </w:style>
  <w:style w:type="numbering" w:styleId="860" w:customStyle="1">
    <w:name w:val="Нет списка1"/>
    <w:next w:val="840"/>
    <w:uiPriority w:val="99"/>
    <w:semiHidden/>
    <w:unhideWhenUsed/>
  </w:style>
  <w:style w:type="table" w:styleId="861" w:customStyle="1">
    <w:name w:val="Сетка таблицы1"/>
    <w:basedOn w:val="839"/>
    <w:next w:val="85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62">
    <w:name w:val="Footer"/>
    <w:basedOn w:val="837"/>
    <w:link w:val="86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3" w:customStyle="1">
    <w:name w:val="Нижний колонтитул Знак"/>
    <w:basedOn w:val="838"/>
    <w:link w:val="862"/>
    <w:uiPriority w:val="99"/>
    <w:rPr>
      <w:rFonts w:ascii="Times New Roman" w:hAnsi="Times New Roman" w:eastAsia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11286-F475-44EB-B9B1-D687955F8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priem_adm</dc:creator>
  <cp:keywords/>
  <dc:description/>
  <cp:lastModifiedBy>ekonomika-3</cp:lastModifiedBy>
  <cp:revision>70</cp:revision>
  <dcterms:created xsi:type="dcterms:W3CDTF">2020-08-28T11:22:00Z</dcterms:created>
  <dcterms:modified xsi:type="dcterms:W3CDTF">2026-07-22T06:18:32Z</dcterms:modified>
</cp:coreProperties>
</file>